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C6" w:rsidRDefault="00D4686D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2.2.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9.Лабораторная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работа по монтажу комплектных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токопроводов</w:t>
      </w:r>
      <w:proofErr w:type="spellEnd"/>
    </w:p>
    <w:p w:rsidR="00D4686D" w:rsidRDefault="00D4686D" w:rsidP="00D468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Область применения и конструкция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В сетях 6—35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промышленных предприятий следует применять гибкие или жесткие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для передачи в одном направлении мощности более 15—20 MB-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при 6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более 25—35 MB-А при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более 35 MB-А при 35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[3]. При передаче мощности более 60 МВ&gt;А, как правило, применяют воздушные или кабельные линии глубоких вводов 110—220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кВ.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применяют для питания крупных потребителей, передачи электроэнергии от электростанции или главной понижающей подстанции при напряжении 6, 10 или 35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 основным цехам предприятия, подсоединения генераторов и трансформаторов большой мощности к сборным шинам РУ, а также для соединения их между собой при работе по схеме блока генератор — трансформатор.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Преимущества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 сравнению с кабельными связями: замена дефицитных кабелей алюминиевыми шинами и неизолированными проводами; повышение надежности вследствие отсутствия больших потоков кабелей и большого числа кабельных муфт; улучшение условий эксплуатации; облегчение условий наблюдения за электроустановкой и устранения неисправностей; обеспечение высокого уровня индустриализации монтажных работ путем заготовки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хМЭЗ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укрупненных секций и блоков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значительное повышение способности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 перегрузке при послеаварийных режимах (вследствие отсутствия изоляции); существенное снижение стоимости (жесткие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дешевле кабельных линий такой же пропускной способности более чем в 2 раза).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Наиболее современными конструкциями применяемых в Настоящее время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6—10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являются: симметричный подвесной наружной и внутренней установки с трубчатыми шинами и подвесными изоляторами жесткий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разработанный Ленинградским отделением ВНИПИ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Тяжпромэлектропроект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(рис. 8.24); симметричный гибкий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для наружной установки, разработанный ГПИ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Электропроект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(рис. 8 25);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30E7E96" wp14:editId="5F3005F2">
            <wp:extent cx="1590040" cy="2067560"/>
            <wp:effectExtent l="0" t="0" r="0" b="8890"/>
            <wp:docPr id="1" name="Рисунок 1" descr="Симметричный подвесной жесткий токопровод с трубчатыми шин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мметричный подвесной жесткий токопровод с трубчатыми шина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  <w:t xml:space="preserve">Рис. 8.24. Симметричный подвесной жесткий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 трубчатыми шинами (Ленинградское отделение ВНИПИ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тяжпромэлектропроект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br/>
        <w:t xml:space="preserve">симметричный подвесной трубчатый на тросовой подвеске, разработанный Киевским отделением Украинского ГПИ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Тяжпромэлектропроект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комплектный закрытый симметричный экранированный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типа ТЗК-10,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2000 и 3200 А.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Все перечисленные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имеют симметричное расположение фаз. Такое расположение фаз является наиболее рациональным, так как уменьшает полное электрическое сопротивление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обеспечивает его одинаковое значение во всех фазах. Активное сопротивление симметричного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35—40 % меньше, чем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 горизонтальным или вертикальным расположением шин; потери электроэнергии снижаются в 2—2,5 раза.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Во всех случаях стремятся применять открытую прокладку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если это возможно по условиям окружающей среды и отвода коридора на территории предприятия под трассу. В условиях большой стесненности территории или повышенной агрессивности среды применяют прокладку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 закрытых галереях или в туннелях. При этом используют симметричные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6 или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из алюминиевых шин коробчатого сечения, укрепленных на изоляторах, расположенных звездообразно.</w:t>
      </w:r>
    </w:p>
    <w:p w:rsidR="00D4686D" w:rsidRDefault="00D4686D" w:rsidP="00D468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 wp14:anchorId="0E1B3C80" wp14:editId="138CB5E2">
            <wp:extent cx="3458845" cy="4293870"/>
            <wp:effectExtent l="0" t="0" r="8255" b="0"/>
            <wp:docPr id="2" name="Рисунок 2" descr="Симметричный гибкий токопро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мметричный гибкий токопров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  <w:t xml:space="preserve">Рис 8 25 Симметричный гибкий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выполненный неизолированными проводами больших сечений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Электропроект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br/>
        <w:t>а — гибкие провода фазы А, в — то же фазы В, с — те же фазы С 1—подвесные изоляторы, 2 — изоляторы фиксаторы между фазами А и С; 3 — траверса опоры, 4 — междуфазные фиксаторы, 5 — конструкция для крепления проводов одной фазы</w:t>
      </w:r>
      <w:r>
        <w:rPr>
          <w:rFonts w:ascii="Arial" w:hAnsi="Arial" w:cs="Arial"/>
          <w:color w:val="000000"/>
          <w:sz w:val="18"/>
          <w:szCs w:val="18"/>
        </w:rPr>
        <w:br/>
        <w:t>Они могут применяться также для открытой прокладки на отдельно стоящих опорах и на конструкциях вдоль глухой стены производственного здания.</w:t>
      </w:r>
      <w:r>
        <w:rPr>
          <w:rFonts w:ascii="Arial" w:hAnsi="Arial" w:cs="Arial"/>
          <w:color w:val="000000"/>
          <w:sz w:val="18"/>
          <w:szCs w:val="18"/>
        </w:rPr>
        <w:br/>
        <w:t xml:space="preserve">Рассмотрим несколько подробнее конструкцию упомянутых выше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изображенных на рис. 8 24— 8 25.</w:t>
      </w:r>
    </w:p>
    <w:p w:rsidR="00D4686D" w:rsidRDefault="00D4686D" w:rsidP="00D468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 рис. 8 25 показана одна цепь гибкого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двухцепного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открытого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подвешенного па опорах.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выполнен с расщепленными фазами: каждая фаза состоит из шести алюминиевых проводов А 600 сечением 600 мм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. Фазы каждой цепи расположены симметрично по вершинам равностороннего треугольника. Фазы А я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подвешивают к траверсе опор на гирляндах из двух поддерживающих изоляторов. Фазу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 подвешивают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симметрично к фазам А и С, при этом центры фаз образуют равносторонний треугольник со сторонами 2000 мм. Между фазами А и С устанавливают распорки — фиксаторы с двумя изоляторами.</w:t>
      </w:r>
      <w:r>
        <w:rPr>
          <w:rFonts w:ascii="Arial" w:hAnsi="Arial" w:cs="Arial"/>
          <w:color w:val="000000"/>
          <w:sz w:val="18"/>
          <w:szCs w:val="18"/>
        </w:rPr>
        <w:br/>
        <w:t>Для симметричного расположения шести проводов каждой расщепленной фазы применяют специальные конструкции, подвешиваемые к гирлянде изоляторов. Во избежание схлестывания между собой проводов расщепленных фаз от динамических усилий, возникающих при КЗ, предусматривается установка внутрифазных распорок. Для предотвращения возможности схлестывания проводов разных фаз устанавливают междуфазные фиксаторы с изоляторами.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Когда гибкие открытые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не могут быть применены по условиям стесненности территории (ширина коридора для гибкого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 учетом установки молниеотводов составляет 25 м), а также по условиям агрессивности окружающей среды, наиболее экономичной конструкцией является симметричный жесткий самонесущий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из алюминиевых труб (рис. 8.24), подвешиваемый на опорах.</w:t>
      </w:r>
      <w:r>
        <w:rPr>
          <w:rFonts w:ascii="Arial" w:hAnsi="Arial" w:cs="Arial"/>
          <w:color w:val="000000"/>
          <w:sz w:val="18"/>
          <w:szCs w:val="18"/>
        </w:rPr>
        <w:br/>
        <w:t>В качестве шин применяют высокопрочные трубы диаметром 210 мм с толщиной стенки 10 мм из алюминиевого сплава АД31Т-1, сопротивление которых изгибу в 5 раз превышает сопротивление изгибу алюминиевых шин коробчатого профиля. Это позволяет сократить количество междуфазных распорок, увеличить шаг подвески шин с 1,5—3 до 20—30 м, тем самым более чем вдвое сократить количество опор по трассе и уменьшить массу опор. При прокладке но территории предприятий химической промышленности с атмосферой, насыщенной хлором, шины покрывают противокоррозионным защитным слоем лака ХСЛ по грунтам ЭП-1010 и ВЛ-02.</w:t>
      </w:r>
      <w:r>
        <w:rPr>
          <w:rFonts w:ascii="Arial" w:hAnsi="Arial" w:cs="Arial"/>
          <w:color w:val="000000"/>
          <w:sz w:val="18"/>
          <w:szCs w:val="18"/>
        </w:rPr>
        <w:br/>
        <w:t>Подвеску шин к опорам делают на балансирующих коромыслах. Между фазами устанавливают распорки Температурные компенсаторы и повороты выполняют гибкими алюминиевыми проводами А 300 по 12 проводов на каждую фазу.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Защита от грозовых разрядов осуществляется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молниеприемниками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установленными вдоль трассы по обеим сторонам в шахматном порядке (металлические решетчатые мачты высотой 25—35 м).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Комплектные закрытые симметричные экранированные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типа ТЗК-10 представляют собой трехфазную симметричную систему алюминиевых шин корытного профиля 160X65X7 мм, закрепленных на опорных изоляторах внутри алюминиевого кожуха диаметром 700 мм. В промышленных электроустановках они находят все более широкое применение на вводах от понижающих трансформаторов в КРУ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а также для прокладки внутри цехов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межферменном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пространстве или на других поддерживающих конструкциях. Они начинают находить применение и для межцеховой наружной прокладки.</w:t>
      </w:r>
      <w:r>
        <w:rPr>
          <w:rFonts w:ascii="Arial" w:hAnsi="Arial" w:cs="Arial"/>
          <w:color w:val="000000"/>
          <w:sz w:val="18"/>
          <w:szCs w:val="18"/>
        </w:rPr>
        <w:br/>
        <w:t xml:space="preserve">Так, например, на Череповецком металлургическом комбинате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ТЗК-10 протяженностью около 900 м применен для питания трех главных двигателей воздуходувок мощностью по 32 МВт. При этом в МЭЗ из секций заводского изготовления собирали блоки длиной 12 м. Сварочные работы выполняли полуавтоматом ПРМ-4 в среде аргона на специально разработанном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кантователе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Каждый блок после испытания повышенным напряжением 42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закрывали торцевыми заглушками и маркировали согласно монтажной схеме В монтажную зону блоки доставляли в специальных контейнерах, поднимали и перемещали блоки с помощью специальных траверс. После того как были приняты необходимые меры, исключающие попадания отходов сварки в полость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блоки сваривали в кабине сварщика. Торцевые заглушки блоков снимали только к моменту сварки. В случае перерыва в работе стык вновь временно герметизировали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лакотканью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После соединения очередного блока проводилось испытание всего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Опыт работы говорит о том, что монтаж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ТЗК-10 на протяженных трассах требует тщательной инженерной подготовки. При этом время нахождения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 открытом состоянии должно быть сведено к минимуму.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В заключение обзора конструкций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отметим, что технико-экономические расчеты, выполненные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Тяжпромэлектропроектом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позволили сделать следующие выводы: капитальные затраты на сооружение жестких и гибких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можно считать практически одинаковыми; расход проводникового материала, а следовательно, и потери электроэнергии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отличаются незначительно; гибкий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требует больших трудовых затрат в монтажной зоне по сравнению с жестким. Достоинством жестких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 сравнению с гибкими является возможность снижения трудоемкости работ в монтажной зоне за счет заготовки в МЭЗ узлов и секций длиной 12—24 ми массой до 1—1,5 т, транспортируемых к месту установки в собранном виде, а затем свариваемых в плети длиной 45—60 м (расстояние между компенсационными узлами) и подвешиваемых к конструкциям опор.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Монтаж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из алюминиевых шин на опорных изоляторах не отличается от монтажа ошиновки РУ. Монтаж открытых гибких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из алюминиевых многожильных проводов во многом аналогичен монтажу проводов ВЛ. Подробно монтаж гибких многожильных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рассмотрен в [19].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В ППР предусматривается укрупнение монтажных секций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 учетом его конструкции и способа прокладки: открыто на опорах или в галерее (туннеле), возможности доставки укрупненных секций на трассу, наличия подъемно-транспортных средств и т. п. На основании плана трассы, схемы и чертежей типовых секций производят раскрой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 длине трассы на укрупненные секции. При этом при прокладке жесткого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 галереях и туннелях длину секций обычно принимают равной одной или двум строительным длинам шин, но не более 14 м. При прокладке открытого жесткого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подвешиваемого на опорах, длину укрупненной секции принимают равной трем — шести строительным длинам шин, но не более 36 м на прямых участках трассы, а на поворотах— одной — четырем строительным длинам шин, но не более 24 м.</w:t>
      </w:r>
      <w:r>
        <w:rPr>
          <w:rFonts w:ascii="Arial" w:hAnsi="Arial" w:cs="Arial"/>
          <w:color w:val="000000"/>
          <w:sz w:val="18"/>
          <w:szCs w:val="18"/>
        </w:rPr>
        <w:br/>
        <w:t>Сборку укрупненных секций выполняют на заготовительно-сборочном полигоне, который организуют при МЭЗ или непосредственно вблизи трассы.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Для жестких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применяют алюминиевые трубы или алюминиевые шины корытного профиля. Шины очищают от жирового консервирующего слоя, протирают тряпкой, смоченной в бензине или ацетоне, затем правят деревянной киянкой, кувалдой или механической бабой. Удары кувалдой и бабой производят через алюминиевую подкладку. На дисковой пиле обрезают неровные концы шин. Затем шины, поступающие с завода отрезками по 6—7 м, сваривают в плети в соответствии с раскроем укрупненных секций. Плети на сварочном столе сваривают попарно с помощью перемычки в шинные короба.</w:t>
      </w:r>
    </w:p>
    <w:p w:rsidR="00D4686D" w:rsidRDefault="00D4686D" w:rsidP="00D468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Секции поднимают на опоры краном, секции до 12 м поднимают стропами за опорные конструкции изоляторов. Секции большей длины поднимают с помощью транспортной рамы или специальной траверсы (рис. 8.26). После подвески и закрепления секции сваривают между собой с помощью температурных компенсаторов.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При монтаже симметричного жесткого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трехфазные секции длиной 6—7 м заготовляют на полигоне, а сборку их в укрупненные секции производят на полу в галерее (туннеле).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5ECC5A7" wp14:editId="3E41EA30">
            <wp:extent cx="3429000" cy="1908175"/>
            <wp:effectExtent l="0" t="0" r="0" b="0"/>
            <wp:docPr id="3" name="Рисунок 3" descr="Подъемная травер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ъемная траверс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  <w:t xml:space="preserve">Рис 8 26 Подъемная траверса для укрупненной секции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Длина укрупненных секций определяется расстоянием между температурными компенсаторами. Сварку шин в укрупненной секции выполняют с помощью круговых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кантователей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— двух соединенных болтами полукругов, катящихся по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роликам  опорной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конструкции. Секции помещают внутри поворотных кругов. После окончания сварки стыков шин на всех фазах поворотные круги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кантователей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разболчивают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верхние полукруги снимают. Затем укрупненную секцию поднимают полиспастами и закрепляют к подвескам.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При монтаже самонесущего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(рис. 8.24) заготовку трубчатых шин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сборку их в трехфазные секции длиной 25 м выполняют на заготовительном сборочном полигоне.</w:t>
      </w:r>
      <w:r>
        <w:rPr>
          <w:rFonts w:ascii="Arial" w:hAnsi="Arial" w:cs="Arial"/>
          <w:color w:val="000000"/>
          <w:sz w:val="18"/>
          <w:szCs w:val="18"/>
        </w:rPr>
        <w:br/>
        <w:t xml:space="preserve">Трубы доставляют со склада к стеллажу-накопителю трубоукладчиком.  Торцы труб обрабатывают на торцовочном станке, и трубы подают в сварочное помещение. Сваривают трубы вольфрамовым электродом за два-три прохода полуавтоматом ПРМ с поворотом на 360°. Сварщик ножной педалью включает электродвигатель системы вращения трубы. Частота вращения 15 об/мин. Одновременно сварщик зачищает края шины стальной щеткой и обезжиривает их ацетоном. Для формовки шва в трубу вставляют обезжиренное алюминиевое кольцо, которое прихватывают в нескольких местах сваркой. После этого по роликовому конвейеру подают следующую трубу и стыкуют ее с предыдущей с зазором 8—10 мм. Перед сваркой конец стыкуемой трубы также зачищают и обезжиривают. После сварки всей плети ее протаскивают электрической лебедкой по роликовому конвейеру и скатывают на накопитель. Далее шину обрабатывают пескоструйным аппаратом и приваривают к торцу ее температурный компенсатор или гибкий переход из многожильных проводов. Затем шину грунтуют в три слоя, покрывают защитным лаком и сушат. Температурные компенсаторы и гибкие переходы изготовляют из мерных кусков алюминиевого многожильного провода А 300. Концы проводов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бандажируют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и провода изгибают по шаблону, 12 таких обрезков проводов укладывают в приспособление, и концы вставляют в отверстия круглых алюминиевых заглушек, которые приваривают к проводам.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Заготовленные укрупненные плети трубчатых шин собирают на полигоне в трехфазные секции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длиной до 25 м. Секции подвешивают к стреле трубоукладчика и транспортируют на трассу. Перед подъемом секцию располагают так, чтобы вертикальная ось секции была совмещена с точкой подвеса на траверсе опоры. Расстояние между фазами фиксируют с помощью талрепов, после чего устанавливают междуфазные распорки. Секцию, собранную с установленным узлом крепления, поднимают стрелой трубоукладчика и подвешивают на высоте 1,5 м от земли на стальных струнах длиной 8 м и диаметром 2 мм, закрепленных за скобу траверсы опоры. В таком положении выверяют и регулируют все крепления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шинодержатели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Одновременно восстанавливают защитное антикоррозионное покрытие в местах частичного повреждения.</w:t>
      </w:r>
      <w:r>
        <w:rPr>
          <w:rFonts w:ascii="Arial" w:hAnsi="Arial" w:cs="Arial"/>
          <w:color w:val="000000"/>
          <w:sz w:val="18"/>
          <w:szCs w:val="18"/>
        </w:rPr>
        <w:br/>
        <w:t>Подъем секций на опоры производят с помощью блоков и тракторов. После выверки креплений соединяют укрупненные секции с помощью компенсаторов или гибких поворотов, привариваемых к торцам смежных секций.</w:t>
      </w:r>
    </w:p>
    <w:p w:rsidR="00D4686D" w:rsidRDefault="00D4686D" w:rsidP="00D4686D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на заготовительном полигоне собирают секции длиной 60—70 м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межкомпенсационный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участок), то транспортируют их на трассу тракторами на инвентарных волокушах.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Двухтрехпролетные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секции поднимают двумя тракторами и подвешивают их к траверсам опор за 20—25 мин. Сведения по монтажу различных видов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токопроводов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приведены в [19].</w:t>
      </w:r>
    </w:p>
    <w:p w:rsidR="00D4686D" w:rsidRPr="00D4686D" w:rsidRDefault="00D4686D">
      <w:pPr>
        <w:rPr>
          <w:rFonts w:ascii="Times New Roman" w:hAnsi="Times New Roman" w:cs="Times New Roman"/>
          <w:sz w:val="24"/>
          <w:szCs w:val="24"/>
        </w:rPr>
      </w:pPr>
      <w:r w:rsidRPr="00D4686D">
        <w:rPr>
          <w:rFonts w:ascii="Times New Roman" w:hAnsi="Times New Roman" w:cs="Times New Roman"/>
          <w:sz w:val="24"/>
          <w:szCs w:val="24"/>
        </w:rPr>
        <w:t>http://forca.ru/knigi/arhivy/montazh-elektricheskih-ustanovok-40.html</w:t>
      </w:r>
      <w:bookmarkStart w:id="0" w:name="_GoBack"/>
      <w:bookmarkEnd w:id="0"/>
    </w:p>
    <w:sectPr w:rsidR="00D4686D" w:rsidRPr="00D4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7D"/>
    <w:rsid w:val="00D35F7D"/>
    <w:rsid w:val="00D4686D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DE54"/>
  <w15:chartTrackingRefBased/>
  <w15:docId w15:val="{3AEDDC23-7258-48C6-8993-331B1C7D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2158</Words>
  <Characters>12305</Characters>
  <Application>Microsoft Office Word</Application>
  <DocSecurity>0</DocSecurity>
  <Lines>102</Lines>
  <Paragraphs>28</Paragraphs>
  <ScaleCrop>false</ScaleCrop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2018-02-20T06:18:00Z</dcterms:created>
  <dcterms:modified xsi:type="dcterms:W3CDTF">2018-02-20T06:23:00Z</dcterms:modified>
</cp:coreProperties>
</file>